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Koniec ery benchmarków. Początek ery certyfikacji.</w:t>
      </w:r>
    </w:p>
    <w:p>
      <w:pPr>
        <w:spacing w:after="200"/>
      </w:pPr>
      <w:r>
        <w:rPr>
          <w:i/>
          <w:iCs/>
          <w:color w:val="555555"/>
          <w:sz w:val="26"/>
          <w:szCs w:val="26"/>
        </w:rPr>
        <w:t xml:space="preserve">DeepSensi i Gomola Framework przenoszą medyczne AI z leaderboardów do świata norm bezpieczeństwa — tam, gdzie od pół wieku żyją lotnictwo i energetyka jądrowa</w:t>
      </w:r>
    </w:p>
    <w:p>
      <w:pPr>
        <w:spacing w:after="160"/>
      </w:pPr>
      <w:r>
        <w:rPr>
          <w:b/>
          <w:bCs/>
          <w:i/>
          <w:iCs/>
          <w:color w:val="666666"/>
          <w:sz w:val="20"/>
          <w:szCs w:val="20"/>
        </w:rPr>
        <w:t xml:space="preserve">Materiał prasowy · DeepSensi PBC, Dover, Delaware · lipiec 2026 · kontakt: press@deepsensi.com</w:t>
      </w:r>
    </w:p>
    <w:p>
      <w:pPr>
        <w:pBdr>
          <w:bottom w:val="single" w:color="157a46" w:sz="6" w:space="1"/>
        </w:pBdr>
        <w:spacing w:after="160"/>
      </w:pPr>
    </w:p>
    <w:p>
      <w:pPr>
        <w:spacing w:after="160"/>
      </w:pPr>
      <w:r>
        <w:t xml:space="preserve">Silnik lotniczy, zanim wzniesie pierwszego pasażera, musi wykazać awaryjność poniżej jednej miliardowej na godzinę lotu. Reaktor jądrowy, zanim załadowane zostanie paliwo, musi spełnić poziomy nienaruszalności bezpieczeństwa normy IEC 61508. Lek, zanim trafi do apteki, przechodzi trzecią fazę badań klinicznych. Kliniczna sztuczna inteligencja — technologia, której błędy mierzy się ludzkim życiem — nie musi dziś wykazać niczego. Może zostać wdrożona w szpitalu bez żadnego ilościowego wymogu niezawodności, bez ram certyfikacji, bez policzalnej granicy dla swojej najgroźniejszej wady: halucynacji, czyli płynnie sformułowanej, przekonującej nieprawdy.</w:t>
      </w:r>
    </w:p>
    <w:p>
      <w:pPr>
        <w:spacing w:after="160"/>
      </w:pPr>
      <w:r>
        <w:t xml:space="preserve">Tę lukę — nie produktową, lecz cywilizacyjną — postanowił zamknąć Tomasz Jan Gomoła, twórca i architekt systemu DeepSensi. Jego odpowiedź składa się z dwóch części, które należy oceniać razem: z </w:t>
      </w:r>
      <w:r>
        <w:rPr>
          <w:b/>
          <w:bCs/>
        </w:rPr>
        <w:t xml:space="preserve">Gomola Framework</w:t>
      </w:r>
      <w:r>
        <w:t xml:space="preserve"> — pierwszego ilościowego standardu certyfikacji bezpieczeństwa dla klinicznego AI, otwartego i bezpłatnego dla całej branży, łącznie z konkurencją — oraz z </w:t>
      </w:r>
      <w:r>
        <w:rPr>
          <w:b/>
          <w:bCs/>
        </w:rPr>
        <w:t xml:space="preserve">DeepSensi Medical OS</w:t>
      </w:r>
      <w:r>
        <w:t xml:space="preserve">, działającego systemu, który jako pierwszy poddał się rygorom tego standardu.</w:t>
      </w:r>
    </w:p>
    <w:p>
      <w:pPr>
        <w:pStyle w:val="Heading2"/>
      </w:pPr>
      <w:r>
        <w:t xml:space="preserve">Nie lepszy model. Architektura ponad modelami.</w:t>
      </w:r>
    </w:p>
    <w:p>
      <w:pPr>
        <w:spacing w:after="160"/>
      </w:pPr>
      <w:r>
        <w:t xml:space="preserve">Sedno pomysłu jest kontrintuicyjne: DeepSensi nie konkuruje w wyścigu na coraz większe modele językowe. Wewnątrz systemu nie pracuje nigdy jeden model — pracuje wiele, pochodzących od różnych, niezależnych dostawców, i żadnemu z nich architektura nie ufa. Każde twierdzenie diagnostyczne musi przejść przez kaskadę dwudziestu trzech niezależnych barier weryfikacyjnych — od deterministycznych kontroli spójności fizjologicznej, przez badanie pochodzenia i wiarygodności każdego cytowanego źródła, po adwersarialne ataki prowadzone przez wyspecjalizowane agenty, których jedynym zadaniem jest obalenie wniosku, zanim zobaczy go lekarz. Matematyka tej kaskady, wyprowadzona metodą analizy drzew błędów — tą samą, którą certyfikuje się elektrownie i awionikę — daje granicę: w najgorszych warunkach operacyjnych mniej niż jedna niewykryta halucynacja na około trzysta tysięcy twierdzeń. To wartość, która spełnia próg numeryczny najwyższego poziomu nienaruszalności bezpieczeństwa SIL-4 z trzydziestokrotnym zapasem.</w:t>
      </w:r>
    </w:p>
    <w:p>
      <w:pPr>
        <w:spacing w:after="160"/>
      </w:pPr>
      <w:r>
        <w:t xml:space="preserve">Z tej konstrukcji wynika rzecz dla inwestorów i regulatorów bezcenna, a w branży AI unikalna: </w:t>
      </w:r>
      <w:r>
        <w:rPr>
          <w:b/>
          <w:bCs/>
        </w:rPr>
        <w:t xml:space="preserve">anty-kruchość</w:t>
      </w:r>
      <w:r>
        <w:t xml:space="preserve">. Pytanie, które zabija większość projektów — „co się stanie, gdy następny model będzie lepszy?" — tutaj ma odpowiedź jednozdaniową: będzie lepiej. Lepszy model na wejściu daje lepszy zweryfikowany wynik na wyjściu. Wyścig modeli, który dla innych jest zagrożeniem, dla tej architektury jest darmowym silnikiem postępu.</w:t>
      </w:r>
    </w:p>
    <w:p>
      <w:pPr>
        <w:pStyle w:val="Heading2"/>
      </w:pPr>
      <w:r>
        <w:t xml:space="preserve">Pierwsze AI, które mówi „nie wiem"</w:t>
      </w:r>
    </w:p>
    <w:p>
      <w:pPr>
        <w:spacing w:after="160"/>
      </w:pPr>
      <w:r>
        <w:t xml:space="preserve">Najbardziej ludzkim elementem systemu jest protokół o nazwie LIMBO. Gdy zgromadzone dowody nie wystarczają do bezpiecznego wniosku, DeepSensi nie zgaduje — deklaruje niepewność w ustrukturyzowanej formie: nazywa istotę sporu między specjalistycznymi perspektywami, przedstawia hipotezę roboczą i wskazuje konkretne badania, które rozstrzygną wątpliwość. W medycynie, gdzie najniebezpieczniejszym zdaniem jest pewna siebie pomyłka, uczciwe „nie wiem" z planem działania bywa warte więcej niż efektowna odpowiedź.</w:t>
      </w:r>
    </w:p>
    <w:p>
      <w:pPr>
        <w:spacing w:after="160"/>
      </w:pPr>
      <w:r>
        <w:t xml:space="preserve">Że nie jest to deklaracja marketingowa, pokazują liczby z walidacji na trzystu jeden przypadkach kliniczno-patologicznych „New England Journal of Medicine" z lat 2014–2023 — najtrudniejszym publicznym egzaminie diagnostycznym świata. Po kalibracji nastawionej na bezpieczeństwo system osiągnął 86% trafności pierwszej diagnozy i 93,7% w pierwszej trójce, przy medianie czasu deliberacji czternastu sekund. Ale najważniejsza liczba tego badania jest inna: </w:t>
      </w:r>
      <w:r>
        <w:rPr>
          <w:b/>
          <w:bCs/>
        </w:rPr>
        <w:t xml:space="preserve">odsetek przeoczonych rozpoznań krytycznych — zagrażających życiu — spadł z 4,6% do 0,0%. Cena: 2,3 sekundy dłuższej analizy.</w:t>
      </w:r>
      <w:r>
        <w:t xml:space="preserve"> Jeśli istnieje jedno zdanie, które streszcza filozofię tego projektu, brzmi ono właśnie tak: bezpieczeństwo nie jest podatkiem od skuteczności — kosztuje dwie sekundy, a ratuje tych, których statystyka nazywa „ogonem rozkładu", a lekarze pacjentami.</w:t>
      </w:r>
    </w:p>
    <w:p>
      <w:pPr>
        <w:pStyle w:val="Heading2"/>
      </w:pPr>
      <w:r>
        <w:t xml:space="preserve">Wadliwa miara</w:t>
      </w:r>
    </w:p>
    <w:p>
      <w:pPr>
        <w:spacing w:after="160"/>
      </w:pPr>
      <w:r>
        <w:t xml:space="preserve">Po drodze zespół DeepSensi dokonał odkrycia, które może zaboleć całą branżę. Testując system na popularnych benchmarkach medycznych, skierował swoje warstwy weryfikacji dowodów nie na własne odpowiedzi, lecz na same pytania testowe — i znalazł w nich wady. Publikowany równolegle dokument „The Flawed Yardstick" dokumentuje przypadki, w których automatyczne skrypty oceniające wystawiały zero punktów systemowi za zachowania klinicznie wzorowe: za odmowę zalecenia fizjoterapii pacjentowi z objawami sugerującymi zespół ogona końskiego, za sprawdzenie jakości resuscytacji przed potwierdzeniem podania adrenaliny. Autor nazywa to Paradoksem Bezpiecznego Triażu: dzisiejsze benchmarki nagradzają brawurową zgadywankę, a karzą ostrożność, której uczymy studentów medycyny. Proponowana w zamian metodologia — Automated Clinical Safety Audit — ocenia systemy w dynamicznych, interaktywnych scenariuszach i punktuje uczciwą niepewność wyżej niż spekulatywną pewność. Jeżeli się przyjmie, zmieni sposób, w jaki świat mierzy medyczne AI.</w:t>
      </w:r>
    </w:p>
    <w:p>
      <w:pPr>
        <w:pStyle w:val="Heading2"/>
      </w:pPr>
      <w:r>
        <w:t xml:space="preserve">Standard oddany światu</w:t>
      </w:r>
    </w:p>
    <w:p>
      <w:pPr>
        <w:spacing w:after="160"/>
      </w:pPr>
      <w:r>
        <w:t xml:space="preserve">Być może najodważniejszą decyzją twórcy jest model dystrybucji: Gomola Framework i DeepSensi Standard są otwarte i wolne od opłat licencyjnych. Każdy producent może się certyfikować, każdy szpital może wpisać wymagany poziom DSS do przetargu, każdy regulator może powołać się na metodologię, każdy ubezpieczyciel może na jej podstawie wyceniać ryzyko — bo policzalna granica błędu to pierwszy krok do przywrócenia AI ubezpieczalności, którą rynek polis właśnie mu odbiera. „Standard bezpieczeństwa za paywallem nie jest standardem — jest produktem" — pisze Gomoła. W dokumentach standardu zwraca uwagę jeszcze jedno zdanie, rzadkie w materiałach jakiejkolwiek firmy technologicznej: własny system autor klasyfikuje ostrożniej, niż pozwalałaby mu surowa matematyka, z uzasadnieniem, że „standard, który schlebia własnemu autorowi, nie jest standardem".</w:t>
      </w:r>
    </w:p>
    <w:p>
      <w:pPr>
        <w:pStyle w:val="Heading2"/>
      </w:pPr>
      <w:r>
        <w:t xml:space="preserve">Co dalej</w:t>
      </w:r>
    </w:p>
    <w:p>
      <w:pPr>
        <w:spacing w:after="160"/>
      </w:pPr>
      <w:r>
        <w:t xml:space="preserve">System jest operacyjny, działa na węzłach brzegowych na czterech kontynentach — także w pełni offline, od sprzętu za kilkadziesiąt dolarów po instalacje suwerenne — i wchodzi właśnie w fazę, którą sam sobie wyznaczył: kalibrację szpitalną, dialog z FDA w trybie Q-Submission i dostosowanie do unijnego AI Act przed terminem 2027 roku. Trzy publikacje naukowe trafiają na medRxiv i do recenzji w czasopismach medycznych — z pełnym pakietem benchmarków, z protokołem dostępnym dla audytorów i z zaproszeniem, które w ustach twórcy systemu antyhalucynacyjnego brzmi wyjątkowo wiarygodnie: znajdźcie w zweryfikowanym wyniku choć jedną halucynację.</w:t>
      </w:r>
    </w:p>
    <w:p>
      <w:pPr>
        <w:spacing w:after="160"/>
      </w:pPr>
      <w:r>
        <w:t xml:space="preserve">Historia techniki zna ten moment. Był w lotnictwie, gdy przestano pytać, jak daleko doleciał najlepszy prototyp, a zaczęto pytać, jaką awaryjność gwarantuje każdy egzemplarz. Był w farmacji, gdy entuzjazm zastąpiono trzecią fazą badań. Jeżeli propozycja Tomasza Jana Gomoły się przyjmie — a otwartość standardu, twarda matematyka i pokora wobec własnych wyników dają jej realne szanse — za dekadę nikt nie będzie pamiętał, że medyczne AI można było kiedyś wdrażać bez certyfikatu. Tak wyglądają standardy, które wygrały: stają się niewidzialne, bo stają się oczywiste.</w:t>
      </w:r>
    </w:p>
    <w:p>
      <w:pPr>
        <w:pBdr>
          <w:bottom w:val="single" w:color="157a46" w:sz="6" w:space="1"/>
        </w:pBdr>
        <w:spacing w:after="160"/>
      </w:pPr>
    </w:p>
    <w:p>
      <w:pPr>
        <w:spacing w:after="160"/>
      </w:pPr>
      <w:r>
        <w:rPr>
          <w:i/>
          <w:iCs/>
        </w:rPr>
        <w:t xml:space="preserve">DeepSensi PBC jest spółką pożytku publicznego (Public Benefit Corporation). Trzy filary misji — bezpłatne globalne dopasowywanie pacjentów do badań klinicznych, otwarte badania nad autyzmem i padaczką lekooporną oraz otwarty standard bezpieczeństwa — są zapisane w statucie spółki. Dokumentacja techniczna: www.deepsensi.com/papers · Zapytania prasowe i dostęp do protokołów badawczych: press@deepsensi.com</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2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120"/>
      <w:outlineLvl w:val="0"/>
    </w:pPr>
    <w:rPr>
      <w:rFonts w:ascii="Arial" w:cs="Arial" w:eastAsia="Arial" w:hAnsi="Arial"/>
      <w:b/>
      <w:bCs/>
      <w:color w:val="0e1512"/>
      <w:sz w:val="36"/>
      <w:szCs w:val="36"/>
    </w:rPr>
  </w:style>
  <w:style w:type="paragraph" w:styleId="Heading2">
    <w:name w:val="Heading 2"/>
    <w:basedOn w:val="Normal"/>
    <w:next w:val="Normal"/>
    <w:qFormat/>
    <w:pPr>
      <w:spacing w:after="120" w:before="260"/>
      <w:outlineLvl w:val="1"/>
    </w:pPr>
    <w:rPr>
      <w:rFonts w:ascii="Arial" w:cs="Arial" w:eastAsia="Arial" w:hAnsi="Arial"/>
      <w:b/>
      <w:bCs/>
      <w:color w:val="157a46"/>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2026-07-07T16:18:28.393Z</dcterms:created>
  <dcterms:modified xsi:type="dcterms:W3CDTF">2026-07-07T16:18:28.393Z</dcterms:modified>
</cp:coreProperties>
</file>

<file path=docProps/custom.xml><?xml version="1.0" encoding="utf-8"?>
<Properties xmlns="http://schemas.openxmlformats.org/officeDocument/2006/custom-properties" xmlns:vt="http://schemas.openxmlformats.org/officeDocument/2006/docPropsVTypes"/>
</file>